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B116D4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>Multiple Choice-Fragen</w:t>
      </w:r>
      <w:r w:rsidR="00F37759">
        <w:rPr>
          <w:rFonts w:ascii="Lucida Sans" w:hAnsi="Lucida Sans"/>
          <w:sz w:val="28"/>
        </w:rPr>
        <w:t xml:space="preserve"> - digital</w:t>
      </w:r>
      <w:r>
        <w:rPr>
          <w:rFonts w:ascii="Lucida Sans" w:hAnsi="Lucida Sans"/>
          <w:sz w:val="28"/>
        </w:rPr>
        <w:t xml:space="preserve"> </w:t>
      </w:r>
      <w:r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  <w:r w:rsidR="00693A41">
        <w:rPr>
          <w:rFonts w:ascii="Lucida Sans" w:hAnsi="Lucida Sans"/>
          <w:b/>
          <w:sz w:val="28"/>
        </w:rPr>
        <w:br/>
      </w:r>
    </w:p>
    <w:p w:rsidR="00156BD0" w:rsidRDefault="00D16F0F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Kaufmöglichkeiten gehören zum Fernabsatzgeschäft?</w:t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t xml:space="preserve"> (3/5)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894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Katalog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64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Warenhaus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61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Bäckerei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36073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Internet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505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Telefon</w:t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 xml:space="preserve">Für den Kauf im Fernabsatz gelten besondere Regeln. Welche der nachfolgenden Aussagen sind richtig? (2/5) 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t>Im Fernabsatz …</w:t>
      </w:r>
      <w:r w:rsidR="00111204" w:rsidRPr="00111204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9343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längere Garantie für die verkauften Produkte.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83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müssen die Waren innerhalb einer Woche geliefert werden.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337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 Kreditgeschäfte und Käufe auf Ratenzahlung verboten.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0502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 der Verkäufer die Ware zurücknehmen, wenn sie dem Käufer nicht gefällt.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672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14-tägige Widerrufspflicht.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Wann beginnt die gesetzliche Widerrufsfrist?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Die Widerrufsfrist beginnt ….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590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Tag, an dem die Ware versendet wurde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975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 der Bestellung durch den 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1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 Tage nach dem Eingang der Bestellung bei dem Verkäufer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1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der Käufer die Ware erhalten hat.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477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die Ware zum Versand gebracht wird.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Aussagen sind richtig?</w:t>
      </w:r>
      <w:r w:rsidR="00CB0CD7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379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</w:t>
      </w:r>
      <w:r w:rsidR="00CB0CD7">
        <w:rPr>
          <w:rFonts w:asciiTheme="minorHAnsi" w:hAnsiTheme="minorHAnsi" w:cstheme="minorHAnsi"/>
          <w:sz w:val="22"/>
          <w:szCs w:val="22"/>
        </w:rPr>
        <w:t>Verkäufer</w:t>
      </w:r>
      <w:r>
        <w:rPr>
          <w:rFonts w:asciiTheme="minorHAnsi" w:hAnsiTheme="minorHAnsi" w:cstheme="minorHAnsi"/>
          <w:sz w:val="22"/>
          <w:szCs w:val="22"/>
        </w:rPr>
        <w:t xml:space="preserve"> den Hin- und Rückversand der Ware bezahlen.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195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Verkäufer die gesamten Kosten tragen, außer den </w:t>
      </w:r>
      <w:r>
        <w:rPr>
          <w:rFonts w:asciiTheme="minorHAnsi" w:hAnsiTheme="minorHAnsi" w:cstheme="minorHAnsi"/>
          <w:sz w:val="22"/>
          <w:szCs w:val="22"/>
        </w:rPr>
        <w:br/>
        <w:t xml:space="preserve">     Versandkosten für die Rücksendung.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05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bei einer Rücksendung die Kosten für die Rücksendung tragen.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436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>Die Rücksendung ist für den Käufer kostenfrei.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49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 xml:space="preserve">Der Käufer muss bei einer Rücksendung die Kosten für die Hin- und Rücksendung </w:t>
      </w:r>
      <w:r w:rsidR="00111204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CB0CD7">
        <w:rPr>
          <w:rFonts w:asciiTheme="minorHAnsi" w:hAnsiTheme="minorHAnsi" w:cstheme="minorHAnsi"/>
          <w:sz w:val="22"/>
          <w:szCs w:val="22"/>
        </w:rPr>
        <w:t>bezahlen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B116D4">
        <w:rPr>
          <w:rFonts w:asciiTheme="minorHAnsi" w:hAnsiTheme="minorHAnsi" w:cstheme="minorHAnsi"/>
          <w:sz w:val="22"/>
          <w:szCs w:val="22"/>
        </w:rPr>
        <w:br/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lastRenderedPageBreak/>
        <w:t>Welche Aussagen über den Widerruf sind richtig?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165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den Widerruf ausdrücklich erklären.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7428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genügt es, die Ware zurückzuschicken.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06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Widerruf muss immer mit Einschreiben erfolgen.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464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muss der Verkäufer ein Formular zur Verfügung stellen.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24039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Verkäufer muss ausdrücklich auf die Widerrufsmöglichkeit und die Widerrufsfrist</w:t>
      </w:r>
      <w:r>
        <w:rPr>
          <w:rFonts w:asciiTheme="minorHAnsi" w:hAnsiTheme="minorHAnsi" w:cstheme="minorHAnsi"/>
          <w:sz w:val="22"/>
          <w:szCs w:val="22"/>
        </w:rPr>
        <w:br/>
        <w:t xml:space="preserve">     hinweisen.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Für welche der nachfolgenden Geschäfte gilt die Widerrufsregelung?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91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Versicherungen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1054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Sammelbestellungen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708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Reisebuchungen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3130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Kreditverträge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6922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Kontoeröffnung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r w:rsidR="00111204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Bei welchen der nachfolgenden Fernabsatzgeschäfte ist die Widerrufsregelung nicht wirksam?</w:t>
      </w:r>
      <w:r w:rsidR="00523B24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="MS Gothic" w:eastAsia="MS Gothic" w:hAnsi="MS Gothic" w:cstheme="minorHAnsi"/>
          <w:sz w:val="22"/>
          <w:szCs w:val="22"/>
        </w:rPr>
        <w:br/>
      </w:r>
      <w:r w:rsidR="00156BD0" w:rsidRPr="00111204">
        <w:rPr>
          <w:rFonts w:ascii="MS Gothic" w:eastAsia="MS Gothic" w:hAnsi="MS Gothic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6368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Elektrogeräte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79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Lieferung von Speisen und Getränken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527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Kauf von Fernreisen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3688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3732B">
        <w:rPr>
          <w:rFonts w:asciiTheme="minorHAnsi" w:hAnsiTheme="minorHAnsi" w:cstheme="minorHAnsi"/>
          <w:sz w:val="22"/>
          <w:szCs w:val="22"/>
        </w:rPr>
        <w:t>Entsiegelte</w:t>
      </w:r>
      <w:r>
        <w:rPr>
          <w:rFonts w:asciiTheme="minorHAnsi" w:hAnsiTheme="minorHAnsi" w:cstheme="minorHAnsi"/>
          <w:sz w:val="22"/>
          <w:szCs w:val="22"/>
        </w:rPr>
        <w:t xml:space="preserve"> Bild- und Tonträgern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175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2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Nutzung von Onlineangeboten</w:t>
      </w:r>
      <w:r w:rsidR="00523B24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523B24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Das Produkthaftungsgesetz schütz den Verbraucher. Welche Aussage ist richtig?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Bei einem Schaden durch ein Produkt …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1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Eigentümer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618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Besitzer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693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Hersteller des Produktes.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95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Verursacher des Schadens.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567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haften sowohl Eigentümer als auch Hersteller des Produktes.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D16F0F" w:rsidRPr="00156BD0" w:rsidRDefault="00523B24" w:rsidP="00A30D1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116D4">
        <w:rPr>
          <w:rFonts w:asciiTheme="minorHAnsi" w:hAnsiTheme="minorHAnsi" w:cstheme="minorHAnsi"/>
          <w:b/>
          <w:sz w:val="22"/>
          <w:szCs w:val="22"/>
        </w:rPr>
        <w:t>Welche der nachfolgenden Angaben sind zwingender Bestandteil eines Ratenkaufs oder Teilzahlungsgeschäftes? (3/5)</w:t>
      </w:r>
      <w:r w:rsidR="00111204" w:rsidRPr="00B116D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B116D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4588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Verwendungszweck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10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Effektiver Jahreszins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72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Sicherheiten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98538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Widerrufsbelehrung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61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Anzahl, Höhe und Fälligkeit der Raten</w:t>
      </w:r>
    </w:p>
    <w:sectPr w:rsidR="00D16F0F" w:rsidRPr="00156B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775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2966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F377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proofErr w:type="spellEnd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8y4QHoT6d3Z+8pwgpSVjGQMR/YnovlZ92sNJRtsmCsgcifBZYhiXjsiyL2awOvdrZ6sQQP3tAeCZMTVWkR0w==" w:salt="1KtYX1VQeQ3QuV2b+PtSy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B3458"/>
    <w:rsid w:val="00523B24"/>
    <w:rsid w:val="00553136"/>
    <w:rsid w:val="00590025"/>
    <w:rsid w:val="005D00C5"/>
    <w:rsid w:val="005E0F30"/>
    <w:rsid w:val="005E3FD3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F262EC"/>
    <w:rsid w:val="00F37759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E46D0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8760-D6C5-45D1-861B-59AC9A4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2019-10-18T15:32:00Z</cp:lastPrinted>
  <dcterms:created xsi:type="dcterms:W3CDTF">2019-10-20T16:01:00Z</dcterms:created>
  <dcterms:modified xsi:type="dcterms:W3CDTF">2019-10-20T16:01:00Z</dcterms:modified>
</cp:coreProperties>
</file>