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3" w:rsidRDefault="00A705D2" w:rsidP="00D63933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Lückentexte digital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C22569" w:rsidP="00D63933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520F8">
        <w:rPr>
          <w:rFonts w:ascii="Lucida Sans" w:hAnsi="Lucida Sans"/>
          <w:b/>
          <w:sz w:val="28"/>
        </w:rPr>
        <w:t>Rechtsgeschäfte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FA1281" w:rsidP="0021080D">
      <w:pPr>
        <w:pStyle w:val="Listenabsatz"/>
        <w:numPr>
          <w:ilvl w:val="0"/>
          <w:numId w:val="3"/>
        </w:numPr>
        <w:spacing w:line="360" w:lineRule="auto"/>
        <w:ind w:left="714" w:hanging="357"/>
      </w:pPr>
      <w:r w:rsidRPr="0021080D">
        <w:rPr>
          <w:rFonts w:ascii="VieTimes New Roman" w:hAnsi="VieTimes New Roman"/>
          <w:b/>
        </w:rPr>
        <w:t>Was sind Rechtsgeschäfte?</w:t>
      </w:r>
      <w:r w:rsidRPr="0021080D">
        <w:rPr>
          <w:rFonts w:ascii="VieTimes New Roman" w:hAnsi="VieTimes New Roman"/>
          <w:b/>
        </w:rPr>
        <w:br/>
      </w:r>
      <w:r w:rsidR="00E47F7D" w:rsidRPr="00FA1281">
        <w:rPr>
          <w:rFonts w:ascii="VieTimes New Roman" w:hAnsi="VieTimes New Roman"/>
        </w:rPr>
        <w:t xml:space="preserve">Rechtsgeschäfte sind zum Beispiel der </w:t>
      </w:r>
      <w:sdt>
        <w:sdtPr>
          <w:rPr>
            <w:rFonts w:ascii="VieTimes New Roman" w:hAnsi="VieTimes New Roman"/>
          </w:rPr>
          <w:id w:val="1759448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843215" w:rsidRPr="00B6385E">
            <w:rPr>
              <w:rStyle w:val="Platzhaltertext"/>
            </w:rPr>
            <w:t>Klicken Sie hier, um Text einzugeben.</w:t>
          </w:r>
          <w:bookmarkEnd w:id="0"/>
        </w:sdtContent>
      </w:sdt>
      <w:r w:rsidR="00EA2CE6">
        <w:rPr>
          <w:rFonts w:ascii="VieTimes New Roman" w:hAnsi="VieTimes New Roman"/>
        </w:rPr>
        <w:br/>
      </w:r>
      <w:r w:rsidR="00E47F7D" w:rsidRPr="00FA1281">
        <w:rPr>
          <w:rFonts w:ascii="VieTimes New Roman" w:hAnsi="VieTimes New Roman"/>
        </w:rPr>
        <w:t>oder die Aufnahme eines Kredites.</w:t>
      </w:r>
      <w:r w:rsidR="00E47F7D" w:rsidRPr="00FA1281">
        <w:rPr>
          <w:rFonts w:ascii="VieTimes New Roman" w:hAnsi="VieTimes New Roman"/>
        </w:rPr>
        <w:br/>
        <w:t xml:space="preserve">Aber auch wenn man heiratet geht man ein Rechtsgeschäft ein. </w:t>
      </w:r>
      <w:r w:rsidR="00E47F7D" w:rsidRPr="00FA1281">
        <w:rPr>
          <w:rFonts w:ascii="VieTimes New Roman" w:hAnsi="VieTimes New Roman"/>
        </w:rPr>
        <w:br/>
      </w:r>
      <w:r w:rsidR="00E47F7D" w:rsidRPr="00FA1281">
        <w:rPr>
          <w:rFonts w:ascii="VieTimes New Roman" w:hAnsi="VieTimes New Roman"/>
        </w:rPr>
        <w:br/>
        <w:t>Rechtsgeschäfte entstehen durch die</w:t>
      </w:r>
      <w:r w:rsidR="00EA2CE6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552116591"/>
          <w:placeholder>
            <w:docPart w:val="3B15988A3CC34E4D8F26E42E5768F169"/>
          </w:placeholder>
          <w:showingPlcHdr/>
        </w:sdtPr>
        <w:sdtEndPr/>
        <w:sdtContent>
          <w:r w:rsidR="00843215" w:rsidRPr="00B6385E">
            <w:rPr>
              <w:rStyle w:val="Platzhaltertext"/>
            </w:rPr>
            <w:t>Klicken Sie hier, um Text einzugeben.</w:t>
          </w:r>
        </w:sdtContent>
      </w:sdt>
      <w:r w:rsidR="00E47F7D" w:rsidRPr="00FA1281">
        <w:rPr>
          <w:rFonts w:ascii="VieTimes New Roman" w:hAnsi="VieTimes New Roman"/>
        </w:rPr>
        <w:t xml:space="preserve">. Mit Rechtsgeschäften geht man </w:t>
      </w:r>
      <w:sdt>
        <w:sdtPr>
          <w:rPr>
            <w:rFonts w:ascii="VieTimes New Roman" w:hAnsi="VieTimes New Roman"/>
          </w:rPr>
          <w:id w:val="-2090840885"/>
          <w:placeholder>
            <w:docPart w:val="39284DDB0DF745878B5CF5AAFFC8451F"/>
          </w:placeholder>
          <w:showingPlcHdr/>
        </w:sdtPr>
        <w:sdtEndPr/>
        <w:sdtContent>
          <w:r w:rsidR="00843215" w:rsidRPr="00B6385E">
            <w:rPr>
              <w:rStyle w:val="Platzhaltertext"/>
            </w:rPr>
            <w:t>Klicken Sie hier, um Text einzugeben.</w:t>
          </w:r>
        </w:sdtContent>
      </w:sdt>
      <w:r w:rsidR="00843215" w:rsidRPr="00FA1281">
        <w:rPr>
          <w:rFonts w:ascii="VieTimes New Roman" w:hAnsi="VieTimes New Roman"/>
        </w:rPr>
        <w:t xml:space="preserve"> </w:t>
      </w:r>
      <w:r w:rsidR="00E47F7D" w:rsidRPr="00FA1281">
        <w:rPr>
          <w:rFonts w:ascii="VieTimes New Roman" w:hAnsi="VieTimes New Roman"/>
        </w:rPr>
        <w:t xml:space="preserve">ein. Zum Beispiel ist man bei einem Kreditvertrag verpflichtet, den geliehenen Geldbetrag </w:t>
      </w:r>
      <w:r w:rsidR="00505E00" w:rsidRPr="00FA1281">
        <w:rPr>
          <w:rFonts w:ascii="VieTimes New Roman" w:hAnsi="VieTimes New Roman"/>
        </w:rPr>
        <w:t xml:space="preserve">und die Kreditkosten </w:t>
      </w:r>
      <w:r w:rsidR="00E47F7D" w:rsidRPr="00FA1281">
        <w:rPr>
          <w:rFonts w:ascii="VieTimes New Roman" w:hAnsi="VieTimes New Roman"/>
        </w:rPr>
        <w:t>in Raten</w:t>
      </w:r>
      <w:r w:rsidR="00EA2CE6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2059118798"/>
          <w:placeholder>
            <w:docPart w:val="5E5BC250640B4CC99C52E1176E0FF034"/>
          </w:placeholder>
          <w:showingPlcHdr/>
        </w:sdtPr>
        <w:sdtEndPr/>
        <w:sdtContent>
          <w:r w:rsidR="00843215" w:rsidRPr="00B6385E">
            <w:rPr>
              <w:rStyle w:val="Platzhaltertext"/>
            </w:rPr>
            <w:t>Klicken Sie hier, um Text einzugeben.</w:t>
          </w:r>
        </w:sdtContent>
      </w:sdt>
      <w:r w:rsidR="00E47F7D" w:rsidRPr="00FA1281">
        <w:rPr>
          <w:rFonts w:ascii="VieTimes New Roman" w:hAnsi="VieTimes New Roman"/>
        </w:rPr>
        <w:t>.</w:t>
      </w:r>
      <w:r w:rsidR="00C30954">
        <w:rPr>
          <w:rFonts w:ascii="VieTimes New Roman" w:hAnsi="VieTimes New Roman"/>
        </w:rPr>
        <w:br/>
      </w:r>
      <w:r w:rsidR="00EA2CE6">
        <w:rPr>
          <w:rFonts w:ascii="VieTimes New Roman" w:hAnsi="VieTimes New Roman"/>
        </w:rPr>
        <w:br/>
      </w:r>
      <w:r w:rsidR="00EA2CE6" w:rsidRPr="00EA2CE6">
        <w:rPr>
          <w:rFonts w:ascii="VieTimes New Roman" w:hAnsi="VieTimes New Roman"/>
          <w:b/>
          <w:i/>
        </w:rPr>
        <w:t xml:space="preserve">zurückzuzahlen / Verpflichtungen / Abgabe von Willenserklärungen / Kauf eines Autos </w:t>
      </w:r>
      <w:r w:rsidR="00EA2CE6" w:rsidRPr="00EA2CE6">
        <w:rPr>
          <w:rFonts w:ascii="VieTimes New Roman" w:hAnsi="VieTimes New Roman"/>
        </w:rPr>
        <w:br/>
      </w:r>
      <w:r w:rsidR="00EA2CE6">
        <w:rPr>
          <w:rFonts w:ascii="VieTimes New Roman" w:hAnsi="VieTimes New Roman"/>
        </w:rPr>
        <w:br/>
      </w:r>
      <w:r w:rsidR="00E47F7D" w:rsidRPr="00FA1281">
        <w:rPr>
          <w:rFonts w:ascii="VieTimes New Roman" w:hAnsi="VieTimes New Roman"/>
        </w:rPr>
        <w:br/>
      </w:r>
      <w:r w:rsidR="008520F8">
        <w:t xml:space="preserve">Rechtsgeschäfte können durch eine </w:t>
      </w:r>
      <w:r w:rsidR="00EA2CE6">
        <w:t xml:space="preserve"> </w:t>
      </w:r>
      <w:sdt>
        <w:sdtPr>
          <w:rPr>
            <w:rFonts w:ascii="VieTimes New Roman" w:hAnsi="VieTimes New Roman"/>
          </w:rPr>
          <w:id w:val="-1241634264"/>
          <w:placeholder>
            <w:docPart w:val="F91298CCD4934B4F93112AC911F45797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 w:rsidR="00C30954">
        <w:t xml:space="preserve"> </w:t>
      </w:r>
      <w:r w:rsidR="008520F8">
        <w:t xml:space="preserve">oder aber durch </w:t>
      </w:r>
      <w:r w:rsidR="00EA2CE6">
        <w:t xml:space="preserve"> </w:t>
      </w:r>
      <w:sdt>
        <w:sdtPr>
          <w:rPr>
            <w:rFonts w:ascii="VieTimes New Roman" w:hAnsi="VieTimes New Roman"/>
          </w:rPr>
          <w:id w:val="1218473801"/>
          <w:placeholder>
            <w:docPart w:val="A4017DE822BE412C89CBD9D66ACCDCB4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 w:rsidR="00C30954">
        <w:t xml:space="preserve"> </w:t>
      </w:r>
      <w:r w:rsidR="008520F8">
        <w:t>zustande kommen.</w:t>
      </w:r>
      <w:r w:rsidR="008520F8">
        <w:br/>
        <w:t xml:space="preserve">Eine Ausdrückliche Erklärung liegt zum Beispiel vor, wenn man einen Kaufvertrag unterschreibt. Bei einer ausdrücklichen Erklärung liegt dem Vertrag </w:t>
      </w:r>
      <w:r w:rsidR="00EA2CE6">
        <w:t xml:space="preserve"> </w:t>
      </w:r>
      <w:sdt>
        <w:sdtPr>
          <w:rPr>
            <w:rFonts w:ascii="VieTimes New Roman" w:hAnsi="VieTimes New Roman"/>
          </w:rPr>
          <w:id w:val="-1315865377"/>
          <w:placeholder>
            <w:docPart w:val="146D7AED42834F1DAA58C342825E3786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 w:rsidR="00C30954">
        <w:t xml:space="preserve"> </w:t>
      </w:r>
      <w:r w:rsidR="008520F8">
        <w:t>zugrunde.</w:t>
      </w:r>
      <w:r w:rsidR="008520F8">
        <w:br/>
      </w:r>
      <w:r w:rsidR="008520F8">
        <w:br/>
        <w:t xml:space="preserve">Eine schlüssige Handlung liegt vor, wenn man </w:t>
      </w:r>
      <w:r w:rsidR="00EA2CE6">
        <w:t xml:space="preserve"> </w:t>
      </w:r>
      <w:sdt>
        <w:sdtPr>
          <w:rPr>
            <w:rFonts w:ascii="VieTimes New Roman" w:hAnsi="VieTimes New Roman"/>
          </w:rPr>
          <w:id w:val="1713999251"/>
          <w:placeholder>
            <w:docPart w:val="561FC32C26C74B2C8DF67BAC79C9F155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 w:rsidR="00C30954">
        <w:t xml:space="preserve"> </w:t>
      </w:r>
      <w:r w:rsidR="008520F8">
        <w:t xml:space="preserve">allein durch </w:t>
      </w:r>
      <w:r w:rsidR="00EA2CE6">
        <w:t xml:space="preserve"> </w:t>
      </w:r>
      <w:sdt>
        <w:sdtPr>
          <w:rPr>
            <w:rFonts w:ascii="VieTimes New Roman" w:hAnsi="VieTimes New Roman"/>
          </w:rPr>
          <w:id w:val="-913230357"/>
          <w:placeholder>
            <w:docPart w:val="E15762E48D74459CB986C89578073D97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 w:rsidR="00C30954">
        <w:t xml:space="preserve"> </w:t>
      </w:r>
      <w:r w:rsidR="008520F8">
        <w:t>ein Rechtsgeschäft abschließt. Dies ist um Beispiel der Fall, wenn man in die Bahn einsteigt und wortlos bezahlt.</w:t>
      </w:r>
      <w:r w:rsidR="00C30954">
        <w:br/>
      </w:r>
      <w:r>
        <w:br/>
      </w:r>
      <w:r w:rsidR="00EA2CE6" w:rsidRPr="00EA2CE6">
        <w:rPr>
          <w:b/>
          <w:i/>
        </w:rPr>
        <w:t>ausdrückliche Erklärung / eine sprachliche Vereinbarung in Wort oder Schrift  / schlüssiges Handeln / Handlung / ohne sich der Sprache zu bedienen</w:t>
      </w:r>
      <w:r w:rsidR="00EA2CE6">
        <w:t xml:space="preserve"> </w:t>
      </w:r>
      <w:r w:rsidR="00EA2CE6">
        <w:br/>
      </w:r>
      <w:r w:rsidR="00EA2CE6">
        <w:br/>
      </w:r>
      <w:r w:rsidR="00EA2CE6">
        <w:br/>
      </w:r>
      <w:r w:rsidR="00EA2CE6">
        <w:lastRenderedPageBreak/>
        <w:br/>
      </w:r>
    </w:p>
    <w:p w:rsidR="00FA1281" w:rsidRDefault="00FA1281" w:rsidP="0021080D">
      <w:pPr>
        <w:pStyle w:val="Listenabsatz"/>
        <w:numPr>
          <w:ilvl w:val="0"/>
          <w:numId w:val="3"/>
        </w:numPr>
        <w:spacing w:line="360" w:lineRule="auto"/>
        <w:ind w:left="714" w:hanging="357"/>
      </w:pPr>
      <w:r w:rsidRPr="0021080D">
        <w:rPr>
          <w:b/>
        </w:rPr>
        <w:t>Einseitige und Zweiseitige Rechtsgeschäfte</w:t>
      </w:r>
      <w:r>
        <w:br/>
        <w:t>Ein</w:t>
      </w:r>
      <w:r w:rsidR="00C30954" w:rsidRPr="00C30954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1048293990"/>
          <w:placeholder>
            <w:docPart w:val="C001F6948D264F62A1E662F9ED334245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 w:rsidR="00C30954">
        <w:t xml:space="preserve"> </w:t>
      </w:r>
      <w:r>
        <w:t>ist zum Beispiel eine</w:t>
      </w:r>
      <w:r w:rsidR="00EA2CE6">
        <w:br/>
      </w:r>
      <w:sdt>
        <w:sdtPr>
          <w:rPr>
            <w:rFonts w:ascii="VieTimes New Roman" w:hAnsi="VieTimes New Roman"/>
          </w:rPr>
          <w:id w:val="216243078"/>
          <w:placeholder>
            <w:docPart w:val="C9CA37782757479BA220059DA9FFA6FE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>
        <w:t>. Bei diesem Rechtsgeschäft gibt es mindestens zwei Personen: Den, der kündigt und der,</w:t>
      </w:r>
      <w:r w:rsidR="00EA2CE6">
        <w:t xml:space="preserve"> </w:t>
      </w:r>
      <w:sdt>
        <w:sdtPr>
          <w:rPr>
            <w:rFonts w:ascii="VieTimes New Roman" w:hAnsi="VieTimes New Roman"/>
          </w:rPr>
          <w:id w:val="246109"/>
          <w:placeholder>
            <w:docPart w:val="47EBC64A7D8C46F8A4813CED6D564432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>
        <w:t xml:space="preserve">. Normalerweise müssen bei einem Rechtsgeschäft beide Personen mit dem Rechtsgeschäft </w:t>
      </w:r>
      <w:r w:rsidR="00EA2CE6">
        <w:t xml:space="preserve"> </w:t>
      </w:r>
      <w:sdt>
        <w:sdtPr>
          <w:rPr>
            <w:rFonts w:ascii="VieTimes New Roman" w:hAnsi="VieTimes New Roman"/>
          </w:rPr>
          <w:id w:val="1139688743"/>
          <w:placeholder>
            <w:docPart w:val="F168CE8293BD454BB9216D38314F1F83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 w:rsidR="00C30954">
        <w:t xml:space="preserve"> </w:t>
      </w:r>
      <w:r>
        <w:t xml:space="preserve">sein. Das ist bei einer Kündigung nicht der Fall. Die Kündigung ist auch gültig, wenn der von der Kündigung betroffene Mensch </w:t>
      </w:r>
      <w:sdt>
        <w:sdtPr>
          <w:rPr>
            <w:rFonts w:ascii="VieTimes New Roman" w:hAnsi="VieTimes New Roman"/>
          </w:rPr>
          <w:id w:val="776300289"/>
          <w:placeholder>
            <w:docPart w:val="0C72ADDFAEAE48A98657DAA388E3E0F7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 w:rsidR="00C30954">
        <w:t xml:space="preserve"> </w:t>
      </w:r>
      <w:r>
        <w:t>ist. Deshalb nennt man dieses Rechtsgeschäft ein „einseitiges Rechtsgeschäft“. Ein weiteres Beispiel für ein einseitiges Rechtsgeschäft ist ein</w:t>
      </w:r>
      <w:r w:rsidR="00EA2CE6">
        <w:t xml:space="preserve"> </w:t>
      </w:r>
      <w:sdt>
        <w:sdtPr>
          <w:rPr>
            <w:rFonts w:ascii="VieTimes New Roman" w:hAnsi="VieTimes New Roman"/>
          </w:rPr>
          <w:id w:val="-685670970"/>
          <w:placeholder>
            <w:docPart w:val="FE6CF6AEF0E24AF7B783943DF675BB06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>
        <w:t>.</w:t>
      </w:r>
      <w:r>
        <w:br/>
      </w:r>
      <w:r w:rsidR="00EA2CE6" w:rsidRPr="00EA2CE6">
        <w:rPr>
          <w:b/>
          <w:i/>
        </w:rPr>
        <w:t>dem gekündigt wird / einverstanden / Testament / Kündigung / einseitiges Rechtsgeschäft / nicht einverstanden</w:t>
      </w:r>
      <w:r w:rsidR="00EA2CE6">
        <w:t xml:space="preserve">  </w:t>
      </w:r>
      <w:r w:rsidR="00EA2CE6">
        <w:br/>
      </w:r>
      <w:r>
        <w:br/>
        <w:t xml:space="preserve">Bei einem </w:t>
      </w:r>
      <w:sdt>
        <w:sdtPr>
          <w:rPr>
            <w:rFonts w:ascii="VieTimes New Roman" w:hAnsi="VieTimes New Roman"/>
          </w:rPr>
          <w:id w:val="1771439414"/>
          <w:placeholder>
            <w:docPart w:val="FC1657EDF19241468B571D6A2A60381A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 w:rsidR="00C30954">
        <w:t xml:space="preserve"> </w:t>
      </w:r>
      <w:r>
        <w:t xml:space="preserve">hingegen müssen </w:t>
      </w:r>
      <w:sdt>
        <w:sdtPr>
          <w:rPr>
            <w:rFonts w:ascii="VieTimes New Roman" w:hAnsi="VieTimes New Roman"/>
          </w:rPr>
          <w:id w:val="2053035713"/>
          <w:placeholder>
            <w:docPart w:val="3AB24C49475A483DAA23104802FE1EBB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 w:rsidR="00C30954">
        <w:t xml:space="preserve"> </w:t>
      </w:r>
      <w:r>
        <w:t>einverstanden sein. Zweiseitige Rechtsgeschäfte entstehen durch</w:t>
      </w:r>
      <w:r w:rsidR="00C30954">
        <w:t xml:space="preserve"> </w:t>
      </w:r>
      <w:sdt>
        <w:sdtPr>
          <w:rPr>
            <w:rFonts w:ascii="VieTimes New Roman" w:hAnsi="VieTimes New Roman"/>
          </w:rPr>
          <w:id w:val="2069307372"/>
          <w:placeholder>
            <w:docPart w:val="A1B2BADC2BFF4B428401B9C6A66938F3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>
        <w:t>. Diese Willenserklärungen nennt man auch</w:t>
      </w:r>
      <w:r w:rsidR="00EA2CE6">
        <w:t xml:space="preserve"> </w:t>
      </w:r>
      <w:sdt>
        <w:sdtPr>
          <w:rPr>
            <w:rFonts w:ascii="VieTimes New Roman" w:hAnsi="VieTimes New Roman"/>
          </w:rPr>
          <w:id w:val="2008706366"/>
          <w:placeholder>
            <w:docPart w:val="FC06B71466124AA0989524B3B1706F1A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>
        <w:t xml:space="preserve">.  Zweiseitige Rechtsgeschäfte werden auch als </w:t>
      </w:r>
      <w:r w:rsidR="00EA2CE6">
        <w:t xml:space="preserve"> </w:t>
      </w:r>
      <w:sdt>
        <w:sdtPr>
          <w:rPr>
            <w:rFonts w:ascii="VieTimes New Roman" w:hAnsi="VieTimes New Roman"/>
          </w:rPr>
          <w:id w:val="-2031786902"/>
          <w:placeholder>
            <w:docPart w:val="0D5F29793AA7487882391752E66FA8E1"/>
          </w:placeholder>
          <w:showingPlcHdr/>
        </w:sdtPr>
        <w:sdtEndPr/>
        <w:sdtContent>
          <w:r w:rsidR="00C30954" w:rsidRPr="00B6385E">
            <w:rPr>
              <w:rStyle w:val="Platzhaltertext"/>
            </w:rPr>
            <w:t>Klicken Sie hier, um Text einzugeben.</w:t>
          </w:r>
        </w:sdtContent>
      </w:sdt>
      <w:r w:rsidR="00C30954">
        <w:t xml:space="preserve"> </w:t>
      </w:r>
      <w:r>
        <w:t xml:space="preserve">bezeichnet. </w:t>
      </w:r>
      <w:r w:rsidR="00EA2CE6">
        <w:br/>
      </w:r>
      <w:r w:rsidR="00EA2CE6" w:rsidRPr="005A2E4A">
        <w:rPr>
          <w:b/>
          <w:i/>
        </w:rPr>
        <w:t xml:space="preserve">Antrag und Annahme / übereinstimmende Willenserklärung / alle Vertragspartner  / Verträge </w:t>
      </w:r>
      <w:r w:rsidR="005A2E4A" w:rsidRPr="005A2E4A">
        <w:rPr>
          <w:b/>
          <w:i/>
        </w:rPr>
        <w:t>/ zweiseitigen Rechtsgeschäft</w:t>
      </w:r>
    </w:p>
    <w:p w:rsidR="00C172EF" w:rsidRPr="0000528B" w:rsidRDefault="00C172EF" w:rsidP="00A62C92">
      <w:pPr>
        <w:jc w:val="center"/>
        <w:rPr>
          <w:b/>
          <w:sz w:val="28"/>
          <w:szCs w:val="28"/>
        </w:rPr>
      </w:pPr>
    </w:p>
    <w:sectPr w:rsidR="00C172EF" w:rsidRPr="00005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05D2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D2" w:rsidRDefault="00A705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D2" w:rsidRDefault="00A705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8520F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2BC4F87A" wp14:editId="3E7D2C00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705D2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8520F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Rechtsgeschäfte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D2" w:rsidRDefault="00A705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799D"/>
    <w:multiLevelType w:val="hybridMultilevel"/>
    <w:tmpl w:val="E6F8445E"/>
    <w:lvl w:ilvl="0" w:tplc="0FC2F89A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hwNF/R8QGOXEfMMGR8cY8nbK1g=" w:salt="frKbwb2ClRSg1dHxZ0Nmq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080D"/>
    <w:rsid w:val="00213EA9"/>
    <w:rsid w:val="00222790"/>
    <w:rsid w:val="0022520C"/>
    <w:rsid w:val="00241DB5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8253E"/>
    <w:rsid w:val="0059213A"/>
    <w:rsid w:val="005A2E4A"/>
    <w:rsid w:val="005C0722"/>
    <w:rsid w:val="005C70E3"/>
    <w:rsid w:val="005E3FD3"/>
    <w:rsid w:val="0061020D"/>
    <w:rsid w:val="00674B79"/>
    <w:rsid w:val="0068490B"/>
    <w:rsid w:val="00694EF7"/>
    <w:rsid w:val="006E76ED"/>
    <w:rsid w:val="007429D1"/>
    <w:rsid w:val="00761870"/>
    <w:rsid w:val="00824589"/>
    <w:rsid w:val="00825B95"/>
    <w:rsid w:val="00843215"/>
    <w:rsid w:val="0084379C"/>
    <w:rsid w:val="008520F8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A62C92"/>
    <w:rsid w:val="00A705D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954"/>
    <w:rsid w:val="00C30B0B"/>
    <w:rsid w:val="00C93A60"/>
    <w:rsid w:val="00CC795E"/>
    <w:rsid w:val="00CD42BF"/>
    <w:rsid w:val="00CF38C2"/>
    <w:rsid w:val="00D53EB9"/>
    <w:rsid w:val="00D6363C"/>
    <w:rsid w:val="00D63933"/>
    <w:rsid w:val="00DB129D"/>
    <w:rsid w:val="00DF51BE"/>
    <w:rsid w:val="00E1153C"/>
    <w:rsid w:val="00E30773"/>
    <w:rsid w:val="00E47F7D"/>
    <w:rsid w:val="00E84618"/>
    <w:rsid w:val="00EA2CE6"/>
    <w:rsid w:val="00ED48F1"/>
    <w:rsid w:val="00F20C25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432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43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E2DAA-FFA4-4E3A-A4EB-9CD63157DFE6}"/>
      </w:docPartPr>
      <w:docPartBody>
        <w:p w:rsidR="003C0033" w:rsidRDefault="001F653C"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15988A3CC34E4D8F26E42E5768F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376B1-348B-4038-89A6-91231F263A96}"/>
      </w:docPartPr>
      <w:docPartBody>
        <w:p w:rsidR="003C0033" w:rsidRDefault="001F653C" w:rsidP="001F653C">
          <w:pPr>
            <w:pStyle w:val="3B15988A3CC34E4D8F26E42E5768F169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284DDB0DF745878B5CF5AAFFC84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30265-016E-4D08-A0FC-D50A96202776}"/>
      </w:docPartPr>
      <w:docPartBody>
        <w:p w:rsidR="003C0033" w:rsidRDefault="001F653C" w:rsidP="001F653C">
          <w:pPr>
            <w:pStyle w:val="39284DDB0DF745878B5CF5AAFFC8451F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5BC250640B4CC99C52E1176E0FF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9B944-40C9-4C69-BED2-537AEB461919}"/>
      </w:docPartPr>
      <w:docPartBody>
        <w:p w:rsidR="003C0033" w:rsidRDefault="001F653C" w:rsidP="001F653C">
          <w:pPr>
            <w:pStyle w:val="5E5BC250640B4CC99C52E1176E0FF034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1298CCD4934B4F93112AC911F45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9E71B-3419-4A32-A7F2-005641E14944}"/>
      </w:docPartPr>
      <w:docPartBody>
        <w:p w:rsidR="003C0033" w:rsidRDefault="001F653C" w:rsidP="001F653C">
          <w:pPr>
            <w:pStyle w:val="F91298CCD4934B4F93112AC911F45797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17DE822BE412C89CBD9D66ACCD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DBF7D-57CA-42B1-B4C4-AB1D57F3CF3C}"/>
      </w:docPartPr>
      <w:docPartBody>
        <w:p w:rsidR="003C0033" w:rsidRDefault="001F653C" w:rsidP="001F653C">
          <w:pPr>
            <w:pStyle w:val="A4017DE822BE412C89CBD9D66ACCDCB4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6D7AED42834F1DAA58C342825E3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E50A4-CD5C-4EE4-BBE9-BE1A7BA6C2E6}"/>
      </w:docPartPr>
      <w:docPartBody>
        <w:p w:rsidR="003C0033" w:rsidRDefault="001F653C" w:rsidP="001F653C">
          <w:pPr>
            <w:pStyle w:val="146D7AED42834F1DAA58C342825E3786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1FC32C26C74B2C8DF67BAC79C9F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6B985-E754-422F-88CB-42C108928DEA}"/>
      </w:docPartPr>
      <w:docPartBody>
        <w:p w:rsidR="003C0033" w:rsidRDefault="001F653C" w:rsidP="001F653C">
          <w:pPr>
            <w:pStyle w:val="561FC32C26C74B2C8DF67BAC79C9F155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5762E48D74459CB986C89578073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FA7F5-E6B6-4593-B12B-4148768DB5DC}"/>
      </w:docPartPr>
      <w:docPartBody>
        <w:p w:rsidR="003C0033" w:rsidRDefault="001F653C" w:rsidP="001F653C">
          <w:pPr>
            <w:pStyle w:val="E15762E48D74459CB986C89578073D97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01F6948D264F62A1E662F9ED334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4D01D-8D79-44C6-82C0-3323D43BEDA7}"/>
      </w:docPartPr>
      <w:docPartBody>
        <w:p w:rsidR="003C0033" w:rsidRDefault="001F653C" w:rsidP="001F653C">
          <w:pPr>
            <w:pStyle w:val="C001F6948D264F62A1E662F9ED334245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CA37782757479BA220059DA9FFA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07607-B681-4ED7-845E-AC0195FC529E}"/>
      </w:docPartPr>
      <w:docPartBody>
        <w:p w:rsidR="003C0033" w:rsidRDefault="001F653C" w:rsidP="001F653C">
          <w:pPr>
            <w:pStyle w:val="C9CA37782757479BA220059DA9FFA6FE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EBC64A7D8C46F8A4813CED6D564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C2388-75E9-4F34-8E56-2A553CD31AC4}"/>
      </w:docPartPr>
      <w:docPartBody>
        <w:p w:rsidR="003C0033" w:rsidRDefault="001F653C" w:rsidP="001F653C">
          <w:pPr>
            <w:pStyle w:val="47EBC64A7D8C46F8A4813CED6D564432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68CE8293BD454BB9216D38314F1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81DF2-75C6-4B9A-A105-44594B7B311B}"/>
      </w:docPartPr>
      <w:docPartBody>
        <w:p w:rsidR="003C0033" w:rsidRDefault="001F653C" w:rsidP="001F653C">
          <w:pPr>
            <w:pStyle w:val="F168CE8293BD454BB9216D38314F1F83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72ADDFAEAE48A98657DAA388E3E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41584-2E5D-4216-8EE2-03734908CDE5}"/>
      </w:docPartPr>
      <w:docPartBody>
        <w:p w:rsidR="003C0033" w:rsidRDefault="001F653C" w:rsidP="001F653C">
          <w:pPr>
            <w:pStyle w:val="0C72ADDFAEAE48A98657DAA388E3E0F7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6CF6AEF0E24AF7B783943DF675B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01609-6B00-4FE7-8E12-E6F72E751DE4}"/>
      </w:docPartPr>
      <w:docPartBody>
        <w:p w:rsidR="003C0033" w:rsidRDefault="001F653C" w:rsidP="001F653C">
          <w:pPr>
            <w:pStyle w:val="FE6CF6AEF0E24AF7B783943DF675BB06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1657EDF19241468B571D6A2A603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46ECD-D695-454B-96C2-959226673C5B}"/>
      </w:docPartPr>
      <w:docPartBody>
        <w:p w:rsidR="003C0033" w:rsidRDefault="001F653C" w:rsidP="001F653C">
          <w:pPr>
            <w:pStyle w:val="FC1657EDF19241468B571D6A2A60381A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B24C49475A483DAA23104802FE1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4BDAD-434B-43E0-A807-0E482151394B}"/>
      </w:docPartPr>
      <w:docPartBody>
        <w:p w:rsidR="003C0033" w:rsidRDefault="001F653C" w:rsidP="001F653C">
          <w:pPr>
            <w:pStyle w:val="3AB24C49475A483DAA23104802FE1EBB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B2BADC2BFF4B428401B9C6A6693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2107C-39AF-41CE-874D-5E370E11829E}"/>
      </w:docPartPr>
      <w:docPartBody>
        <w:p w:rsidR="003C0033" w:rsidRDefault="001F653C" w:rsidP="001F653C">
          <w:pPr>
            <w:pStyle w:val="A1B2BADC2BFF4B428401B9C6A66938F3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06B71466124AA0989524B3B1706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C1A07-DF6C-4050-BB31-33DE9E721A43}"/>
      </w:docPartPr>
      <w:docPartBody>
        <w:p w:rsidR="003C0033" w:rsidRDefault="001F653C" w:rsidP="001F653C">
          <w:pPr>
            <w:pStyle w:val="FC06B71466124AA0989524B3B1706F1A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5F29793AA7487882391752E66FA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9BB68-3171-4C7B-BB81-0F82B7199F61}"/>
      </w:docPartPr>
      <w:docPartBody>
        <w:p w:rsidR="003C0033" w:rsidRDefault="001F653C" w:rsidP="001F653C">
          <w:pPr>
            <w:pStyle w:val="0D5F29793AA7487882391752E66FA8E1"/>
          </w:pPr>
          <w:r w:rsidRPr="00B6385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3C"/>
    <w:rsid w:val="001F653C"/>
    <w:rsid w:val="003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53C"/>
    <w:rPr>
      <w:color w:val="808080"/>
    </w:rPr>
  </w:style>
  <w:style w:type="paragraph" w:customStyle="1" w:styleId="3B15988A3CC34E4D8F26E42E5768F169">
    <w:name w:val="3B15988A3CC34E4D8F26E42E5768F169"/>
    <w:rsid w:val="001F653C"/>
  </w:style>
  <w:style w:type="paragraph" w:customStyle="1" w:styleId="39284DDB0DF745878B5CF5AAFFC8451F">
    <w:name w:val="39284DDB0DF745878B5CF5AAFFC8451F"/>
    <w:rsid w:val="001F653C"/>
  </w:style>
  <w:style w:type="paragraph" w:customStyle="1" w:styleId="5E5BC250640B4CC99C52E1176E0FF034">
    <w:name w:val="5E5BC250640B4CC99C52E1176E0FF034"/>
    <w:rsid w:val="001F653C"/>
  </w:style>
  <w:style w:type="paragraph" w:customStyle="1" w:styleId="F91298CCD4934B4F93112AC911F45797">
    <w:name w:val="F91298CCD4934B4F93112AC911F45797"/>
    <w:rsid w:val="001F653C"/>
  </w:style>
  <w:style w:type="paragraph" w:customStyle="1" w:styleId="A4017DE822BE412C89CBD9D66ACCDCB4">
    <w:name w:val="A4017DE822BE412C89CBD9D66ACCDCB4"/>
    <w:rsid w:val="001F653C"/>
  </w:style>
  <w:style w:type="paragraph" w:customStyle="1" w:styleId="146D7AED42834F1DAA58C342825E3786">
    <w:name w:val="146D7AED42834F1DAA58C342825E3786"/>
    <w:rsid w:val="001F653C"/>
  </w:style>
  <w:style w:type="paragraph" w:customStyle="1" w:styleId="561FC32C26C74B2C8DF67BAC79C9F155">
    <w:name w:val="561FC32C26C74B2C8DF67BAC79C9F155"/>
    <w:rsid w:val="001F653C"/>
  </w:style>
  <w:style w:type="paragraph" w:customStyle="1" w:styleId="E15762E48D74459CB986C89578073D97">
    <w:name w:val="E15762E48D74459CB986C89578073D97"/>
    <w:rsid w:val="001F653C"/>
  </w:style>
  <w:style w:type="paragraph" w:customStyle="1" w:styleId="C001F6948D264F62A1E662F9ED334245">
    <w:name w:val="C001F6948D264F62A1E662F9ED334245"/>
    <w:rsid w:val="001F653C"/>
  </w:style>
  <w:style w:type="paragraph" w:customStyle="1" w:styleId="C9CA37782757479BA220059DA9FFA6FE">
    <w:name w:val="C9CA37782757479BA220059DA9FFA6FE"/>
    <w:rsid w:val="001F653C"/>
  </w:style>
  <w:style w:type="paragraph" w:customStyle="1" w:styleId="47EBC64A7D8C46F8A4813CED6D564432">
    <w:name w:val="47EBC64A7D8C46F8A4813CED6D564432"/>
    <w:rsid w:val="001F653C"/>
  </w:style>
  <w:style w:type="paragraph" w:customStyle="1" w:styleId="F168CE8293BD454BB9216D38314F1F83">
    <w:name w:val="F168CE8293BD454BB9216D38314F1F83"/>
    <w:rsid w:val="001F653C"/>
  </w:style>
  <w:style w:type="paragraph" w:customStyle="1" w:styleId="0C72ADDFAEAE48A98657DAA388E3E0F7">
    <w:name w:val="0C72ADDFAEAE48A98657DAA388E3E0F7"/>
    <w:rsid w:val="001F653C"/>
  </w:style>
  <w:style w:type="paragraph" w:customStyle="1" w:styleId="FE6CF6AEF0E24AF7B783943DF675BB06">
    <w:name w:val="FE6CF6AEF0E24AF7B783943DF675BB06"/>
    <w:rsid w:val="001F653C"/>
  </w:style>
  <w:style w:type="paragraph" w:customStyle="1" w:styleId="FC1657EDF19241468B571D6A2A60381A">
    <w:name w:val="FC1657EDF19241468B571D6A2A60381A"/>
    <w:rsid w:val="001F653C"/>
  </w:style>
  <w:style w:type="paragraph" w:customStyle="1" w:styleId="3AB24C49475A483DAA23104802FE1EBB">
    <w:name w:val="3AB24C49475A483DAA23104802FE1EBB"/>
    <w:rsid w:val="001F653C"/>
  </w:style>
  <w:style w:type="paragraph" w:customStyle="1" w:styleId="A1B2BADC2BFF4B428401B9C6A66938F3">
    <w:name w:val="A1B2BADC2BFF4B428401B9C6A66938F3"/>
    <w:rsid w:val="001F653C"/>
  </w:style>
  <w:style w:type="paragraph" w:customStyle="1" w:styleId="FC06B71466124AA0989524B3B1706F1A">
    <w:name w:val="FC06B71466124AA0989524B3B1706F1A"/>
    <w:rsid w:val="001F653C"/>
  </w:style>
  <w:style w:type="paragraph" w:customStyle="1" w:styleId="0D5F29793AA7487882391752E66FA8E1">
    <w:name w:val="0D5F29793AA7487882391752E66FA8E1"/>
    <w:rsid w:val="001F65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53C"/>
    <w:rPr>
      <w:color w:val="808080"/>
    </w:rPr>
  </w:style>
  <w:style w:type="paragraph" w:customStyle="1" w:styleId="3B15988A3CC34E4D8F26E42E5768F169">
    <w:name w:val="3B15988A3CC34E4D8F26E42E5768F169"/>
    <w:rsid w:val="001F653C"/>
  </w:style>
  <w:style w:type="paragraph" w:customStyle="1" w:styleId="39284DDB0DF745878B5CF5AAFFC8451F">
    <w:name w:val="39284DDB0DF745878B5CF5AAFFC8451F"/>
    <w:rsid w:val="001F653C"/>
  </w:style>
  <w:style w:type="paragraph" w:customStyle="1" w:styleId="5E5BC250640B4CC99C52E1176E0FF034">
    <w:name w:val="5E5BC250640B4CC99C52E1176E0FF034"/>
    <w:rsid w:val="001F653C"/>
  </w:style>
  <w:style w:type="paragraph" w:customStyle="1" w:styleId="F91298CCD4934B4F93112AC911F45797">
    <w:name w:val="F91298CCD4934B4F93112AC911F45797"/>
    <w:rsid w:val="001F653C"/>
  </w:style>
  <w:style w:type="paragraph" w:customStyle="1" w:styleId="A4017DE822BE412C89CBD9D66ACCDCB4">
    <w:name w:val="A4017DE822BE412C89CBD9D66ACCDCB4"/>
    <w:rsid w:val="001F653C"/>
  </w:style>
  <w:style w:type="paragraph" w:customStyle="1" w:styleId="146D7AED42834F1DAA58C342825E3786">
    <w:name w:val="146D7AED42834F1DAA58C342825E3786"/>
    <w:rsid w:val="001F653C"/>
  </w:style>
  <w:style w:type="paragraph" w:customStyle="1" w:styleId="561FC32C26C74B2C8DF67BAC79C9F155">
    <w:name w:val="561FC32C26C74B2C8DF67BAC79C9F155"/>
    <w:rsid w:val="001F653C"/>
  </w:style>
  <w:style w:type="paragraph" w:customStyle="1" w:styleId="E15762E48D74459CB986C89578073D97">
    <w:name w:val="E15762E48D74459CB986C89578073D97"/>
    <w:rsid w:val="001F653C"/>
  </w:style>
  <w:style w:type="paragraph" w:customStyle="1" w:styleId="C001F6948D264F62A1E662F9ED334245">
    <w:name w:val="C001F6948D264F62A1E662F9ED334245"/>
    <w:rsid w:val="001F653C"/>
  </w:style>
  <w:style w:type="paragraph" w:customStyle="1" w:styleId="C9CA37782757479BA220059DA9FFA6FE">
    <w:name w:val="C9CA37782757479BA220059DA9FFA6FE"/>
    <w:rsid w:val="001F653C"/>
  </w:style>
  <w:style w:type="paragraph" w:customStyle="1" w:styleId="47EBC64A7D8C46F8A4813CED6D564432">
    <w:name w:val="47EBC64A7D8C46F8A4813CED6D564432"/>
    <w:rsid w:val="001F653C"/>
  </w:style>
  <w:style w:type="paragraph" w:customStyle="1" w:styleId="F168CE8293BD454BB9216D38314F1F83">
    <w:name w:val="F168CE8293BD454BB9216D38314F1F83"/>
    <w:rsid w:val="001F653C"/>
  </w:style>
  <w:style w:type="paragraph" w:customStyle="1" w:styleId="0C72ADDFAEAE48A98657DAA388E3E0F7">
    <w:name w:val="0C72ADDFAEAE48A98657DAA388E3E0F7"/>
    <w:rsid w:val="001F653C"/>
  </w:style>
  <w:style w:type="paragraph" w:customStyle="1" w:styleId="FE6CF6AEF0E24AF7B783943DF675BB06">
    <w:name w:val="FE6CF6AEF0E24AF7B783943DF675BB06"/>
    <w:rsid w:val="001F653C"/>
  </w:style>
  <w:style w:type="paragraph" w:customStyle="1" w:styleId="FC1657EDF19241468B571D6A2A60381A">
    <w:name w:val="FC1657EDF19241468B571D6A2A60381A"/>
    <w:rsid w:val="001F653C"/>
  </w:style>
  <w:style w:type="paragraph" w:customStyle="1" w:styleId="3AB24C49475A483DAA23104802FE1EBB">
    <w:name w:val="3AB24C49475A483DAA23104802FE1EBB"/>
    <w:rsid w:val="001F653C"/>
  </w:style>
  <w:style w:type="paragraph" w:customStyle="1" w:styleId="A1B2BADC2BFF4B428401B9C6A66938F3">
    <w:name w:val="A1B2BADC2BFF4B428401B9C6A66938F3"/>
    <w:rsid w:val="001F653C"/>
  </w:style>
  <w:style w:type="paragraph" w:customStyle="1" w:styleId="FC06B71466124AA0989524B3B1706F1A">
    <w:name w:val="FC06B71466124AA0989524B3B1706F1A"/>
    <w:rsid w:val="001F653C"/>
  </w:style>
  <w:style w:type="paragraph" w:customStyle="1" w:styleId="0D5F29793AA7487882391752E66FA8E1">
    <w:name w:val="0D5F29793AA7487882391752E66FA8E1"/>
    <w:rsid w:val="001F6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CBE7-7C3A-4F3D-9393-7D1422B1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4</cp:revision>
  <cp:lastPrinted>2020-03-27T08:54:00Z</cp:lastPrinted>
  <dcterms:created xsi:type="dcterms:W3CDTF">2020-05-29T09:33:00Z</dcterms:created>
  <dcterms:modified xsi:type="dcterms:W3CDTF">2020-05-29T11:31:00Z</dcterms:modified>
</cp:coreProperties>
</file>